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2110F" w14:textId="4A833B2F" w:rsidR="00840E61" w:rsidRPr="002411D6" w:rsidRDefault="00FB79E9" w:rsidP="00182DD7">
      <w:pPr>
        <w:pStyle w:val="BodyTex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Virongy’s</w:t>
      </w:r>
      <w:proofErr w:type="spellEnd"/>
      <w:r>
        <w:rPr>
          <w:rFonts w:ascii="Arial" w:hAnsi="Arial" w:cs="Arial"/>
          <w:sz w:val="24"/>
          <w:szCs w:val="24"/>
        </w:rPr>
        <w:t xml:space="preserve"> Low</w:t>
      </w:r>
      <w:r w:rsidR="00531BF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Speed Viral Concentration Kit is designed to enhance virus titer,</w:t>
      </w:r>
      <w:r w:rsidR="00FC66BB">
        <w:rPr>
          <w:rFonts w:ascii="Arial" w:hAnsi="Arial" w:cs="Arial"/>
          <w:sz w:val="24"/>
          <w:szCs w:val="24"/>
        </w:rPr>
        <w:t xml:space="preserve"> maximize </w:t>
      </w:r>
      <w:r>
        <w:rPr>
          <w:rFonts w:ascii="Arial" w:hAnsi="Arial" w:cs="Arial"/>
          <w:sz w:val="24"/>
          <w:szCs w:val="24"/>
        </w:rPr>
        <w:t>transduction efficiency</w:t>
      </w:r>
      <w:r w:rsidR="00FC66BB">
        <w:rPr>
          <w:rFonts w:ascii="Arial" w:hAnsi="Arial" w:cs="Arial"/>
          <w:sz w:val="24"/>
          <w:szCs w:val="24"/>
        </w:rPr>
        <w:t xml:space="preserve"> and increase particle purity. Our propriety Viral Concentration and Resuspension Buffers come sterile and ready-to-use</w:t>
      </w:r>
      <w:r w:rsidR="00531BF0">
        <w:rPr>
          <w:rFonts w:ascii="Arial" w:hAnsi="Arial" w:cs="Arial"/>
          <w:sz w:val="24"/>
          <w:szCs w:val="24"/>
        </w:rPr>
        <w:t xml:space="preserve"> for concentrating viruses, </w:t>
      </w:r>
      <w:proofErr w:type="spellStart"/>
      <w:r w:rsidR="00531BF0">
        <w:rPr>
          <w:rFonts w:ascii="Arial" w:hAnsi="Arial" w:cs="Arial"/>
          <w:sz w:val="24"/>
          <w:szCs w:val="24"/>
        </w:rPr>
        <w:t>pseudoviruses</w:t>
      </w:r>
      <w:proofErr w:type="spellEnd"/>
      <w:r w:rsidR="00531BF0">
        <w:rPr>
          <w:rFonts w:ascii="Arial" w:hAnsi="Arial" w:cs="Arial"/>
          <w:sz w:val="24"/>
          <w:szCs w:val="24"/>
        </w:rPr>
        <w:t>, nanoparticles</w:t>
      </w:r>
      <w:r w:rsidR="00271265">
        <w:rPr>
          <w:rFonts w:ascii="Arial" w:hAnsi="Arial" w:cs="Arial"/>
          <w:sz w:val="24"/>
          <w:szCs w:val="24"/>
        </w:rPr>
        <w:t xml:space="preserve"> (50-200nm)</w:t>
      </w:r>
      <w:r w:rsidR="00531BF0">
        <w:rPr>
          <w:rFonts w:ascii="Arial" w:hAnsi="Arial" w:cs="Arial"/>
          <w:sz w:val="24"/>
          <w:szCs w:val="24"/>
        </w:rPr>
        <w:t xml:space="preserve"> and extracellular vesicles. </w:t>
      </w:r>
      <w:r w:rsidR="00FC66BB">
        <w:rPr>
          <w:rFonts w:ascii="Arial" w:hAnsi="Arial" w:cs="Arial"/>
          <w:sz w:val="24"/>
          <w:szCs w:val="24"/>
        </w:rPr>
        <w:t>The Viral Resuspension Buffer is cell culture and animal safe, for research purposes only. The concentrated viral particles have up to 10x the transduction efficiencies</w:t>
      </w:r>
      <w:r w:rsidR="00182DD7">
        <w:rPr>
          <w:rFonts w:ascii="Arial" w:hAnsi="Arial" w:cs="Arial"/>
          <w:sz w:val="24"/>
          <w:szCs w:val="24"/>
        </w:rPr>
        <w:t xml:space="preserve"> and the higher purity enhances </w:t>
      </w:r>
      <w:r w:rsidR="00182DD7" w:rsidRPr="002411D6">
        <w:rPr>
          <w:rFonts w:ascii="Arial" w:hAnsi="Arial" w:cs="Arial"/>
          <w:sz w:val="24"/>
          <w:szCs w:val="24"/>
        </w:rPr>
        <w:t>cryo-electron microscopy</w:t>
      </w:r>
      <w:r w:rsidR="00182DD7">
        <w:rPr>
          <w:rFonts w:ascii="Arial" w:hAnsi="Arial" w:cs="Arial"/>
          <w:sz w:val="24"/>
          <w:szCs w:val="24"/>
        </w:rPr>
        <w:t xml:space="preserve"> imaging. The low-speed protocol does not require an ultra-centrifuge and can be scaled to any size of particle preparation. </w:t>
      </w:r>
      <w:r w:rsidR="00FC66BB">
        <w:rPr>
          <w:rFonts w:ascii="Arial" w:hAnsi="Arial" w:cs="Arial"/>
          <w:sz w:val="24"/>
          <w:szCs w:val="24"/>
        </w:rPr>
        <w:t xml:space="preserve"> </w:t>
      </w:r>
    </w:p>
    <w:p w14:paraId="28DEDBF6" w14:textId="57D4F897" w:rsidR="00840E61" w:rsidRPr="00FB79E9" w:rsidRDefault="00840E61" w:rsidP="00FB79E9">
      <w:pPr>
        <w:pStyle w:val="Heading1"/>
        <w:numPr>
          <w:ilvl w:val="0"/>
          <w:numId w:val="1"/>
        </w:numPr>
        <w:tabs>
          <w:tab w:val="left" w:pos="627"/>
        </w:tabs>
        <w:ind w:left="626" w:hanging="368"/>
        <w:rPr>
          <w:rFonts w:ascii="Arial" w:hAnsi="Arial" w:cs="Arial"/>
          <w:sz w:val="24"/>
          <w:szCs w:val="24"/>
        </w:rPr>
      </w:pPr>
      <w:r w:rsidRPr="002411D6">
        <w:rPr>
          <w:rFonts w:ascii="Arial" w:hAnsi="Arial" w:cs="Arial"/>
          <w:sz w:val="24"/>
          <w:szCs w:val="24"/>
        </w:rPr>
        <w:t>Equipment,</w:t>
      </w:r>
      <w:r w:rsidRPr="002411D6">
        <w:rPr>
          <w:rFonts w:ascii="Arial" w:hAnsi="Arial" w:cs="Arial"/>
          <w:spacing w:val="-1"/>
          <w:sz w:val="24"/>
          <w:szCs w:val="24"/>
        </w:rPr>
        <w:t xml:space="preserve"> </w:t>
      </w:r>
      <w:r w:rsidRPr="002411D6">
        <w:rPr>
          <w:rFonts w:ascii="Arial" w:hAnsi="Arial" w:cs="Arial"/>
          <w:sz w:val="24"/>
          <w:szCs w:val="24"/>
        </w:rPr>
        <w:t>Supplies</w:t>
      </w:r>
      <w:r w:rsidRPr="002411D6">
        <w:rPr>
          <w:rFonts w:ascii="Arial" w:hAnsi="Arial" w:cs="Arial"/>
          <w:spacing w:val="-1"/>
          <w:sz w:val="24"/>
          <w:szCs w:val="24"/>
        </w:rPr>
        <w:t xml:space="preserve"> </w:t>
      </w:r>
      <w:r w:rsidRPr="002411D6">
        <w:rPr>
          <w:rFonts w:ascii="Arial" w:hAnsi="Arial" w:cs="Arial"/>
          <w:sz w:val="24"/>
          <w:szCs w:val="24"/>
        </w:rPr>
        <w:t>and</w:t>
      </w:r>
      <w:r w:rsidRPr="002411D6">
        <w:rPr>
          <w:rFonts w:ascii="Arial" w:hAnsi="Arial" w:cs="Arial"/>
          <w:spacing w:val="-1"/>
          <w:sz w:val="24"/>
          <w:szCs w:val="24"/>
        </w:rPr>
        <w:t xml:space="preserve"> </w:t>
      </w:r>
      <w:r w:rsidRPr="002411D6">
        <w:rPr>
          <w:rFonts w:ascii="Arial" w:hAnsi="Arial" w:cs="Arial"/>
          <w:sz w:val="24"/>
          <w:szCs w:val="24"/>
        </w:rPr>
        <w:t>Reagents</w:t>
      </w:r>
    </w:p>
    <w:tbl>
      <w:tblPr>
        <w:tblW w:w="8405" w:type="dxa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8"/>
        <w:gridCol w:w="3197"/>
      </w:tblGrid>
      <w:tr w:rsidR="00FB79E9" w:rsidRPr="00237690" w14:paraId="038831EC" w14:textId="77777777" w:rsidTr="00182DD7">
        <w:trPr>
          <w:trHeight w:val="435"/>
        </w:trPr>
        <w:tc>
          <w:tcPr>
            <w:tcW w:w="5208" w:type="dxa"/>
            <w:shd w:val="clear" w:color="auto" w:fill="BFBFBF" w:themeFill="background1" w:themeFillShade="BF"/>
          </w:tcPr>
          <w:p w14:paraId="31E5A4A1" w14:textId="77777777" w:rsidR="00FB79E9" w:rsidRPr="00FB79E9" w:rsidRDefault="00FB79E9" w:rsidP="00FB79E9">
            <w:pPr>
              <w:pStyle w:val="TableParagraph"/>
              <w:tabs>
                <w:tab w:val="left" w:pos="6375"/>
              </w:tabs>
              <w:spacing w:before="106"/>
              <w:ind w:left="9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B79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Equipment Not Included:  </w:t>
            </w:r>
            <w:r w:rsidRPr="00FB79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197" w:type="dxa"/>
            <w:shd w:val="clear" w:color="auto" w:fill="BFBFBF" w:themeFill="background1" w:themeFillShade="BF"/>
          </w:tcPr>
          <w:p w14:paraId="1DF819DB" w14:textId="77777777" w:rsidR="00FB79E9" w:rsidRPr="00FB79E9" w:rsidRDefault="00FB79E9" w:rsidP="00FB79E9">
            <w:pPr>
              <w:pStyle w:val="TableParagraph"/>
              <w:ind w:left="10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B79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Recommended</w:t>
            </w:r>
            <w:bookmarkStart w:id="0" w:name="_GoBack"/>
            <w:bookmarkEnd w:id="0"/>
          </w:p>
          <w:p w14:paraId="51E9705B" w14:textId="5204B455" w:rsidR="00FB79E9" w:rsidRPr="00FB79E9" w:rsidRDefault="00FB79E9" w:rsidP="00FB79E9">
            <w:pPr>
              <w:pStyle w:val="TableParagraph"/>
              <w:tabs>
                <w:tab w:val="left" w:pos="6375"/>
              </w:tabs>
              <w:spacing w:before="106"/>
              <w:ind w:left="9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B79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(Vendor, Cat No)</w:t>
            </w:r>
          </w:p>
        </w:tc>
      </w:tr>
      <w:tr w:rsidR="00EC791B" w:rsidRPr="00237690" w14:paraId="663F9BCB" w14:textId="77777777" w:rsidTr="00182DD7">
        <w:trPr>
          <w:trHeight w:val="345"/>
        </w:trPr>
        <w:tc>
          <w:tcPr>
            <w:tcW w:w="5208" w:type="dxa"/>
            <w:shd w:val="clear" w:color="auto" w:fill="auto"/>
          </w:tcPr>
          <w:p w14:paraId="357E45EF" w14:textId="77EE5C73" w:rsidR="00EC791B" w:rsidRPr="00FB79E9" w:rsidRDefault="00EC791B" w:rsidP="00FB79E9">
            <w:pPr>
              <w:pStyle w:val="TableParagraph"/>
              <w:spacing w:before="106"/>
              <w:ind w:left="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Centrifuge (Fixed Angle 50mL Tube Rotor)</w:t>
            </w:r>
          </w:p>
        </w:tc>
        <w:tc>
          <w:tcPr>
            <w:tcW w:w="3197" w:type="dxa"/>
            <w:shd w:val="clear" w:color="auto" w:fill="auto"/>
          </w:tcPr>
          <w:p w14:paraId="484DA855" w14:textId="39CBDA2F" w:rsidR="00EC791B" w:rsidRPr="00EC791B" w:rsidRDefault="00EC791B" w:rsidP="00EC791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C79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Sorvall</w:t>
            </w:r>
            <w:proofErr w:type="spellEnd"/>
            <w:r w:rsidRPr="00EC79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SA-600</w:t>
            </w:r>
          </w:p>
        </w:tc>
      </w:tr>
      <w:tr w:rsidR="00FB79E9" w:rsidRPr="00237690" w14:paraId="7174C9AD" w14:textId="77777777" w:rsidTr="00182DD7">
        <w:trPr>
          <w:trHeight w:val="345"/>
        </w:trPr>
        <w:tc>
          <w:tcPr>
            <w:tcW w:w="5208" w:type="dxa"/>
            <w:shd w:val="clear" w:color="auto" w:fill="auto"/>
          </w:tcPr>
          <w:p w14:paraId="1AEFDC90" w14:textId="23779FF2" w:rsidR="00FB79E9" w:rsidRPr="00FB79E9" w:rsidRDefault="00FB79E9" w:rsidP="00FB79E9">
            <w:pPr>
              <w:pStyle w:val="TableParagraph"/>
              <w:spacing w:before="106"/>
              <w:ind w:left="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79E9">
              <w:rPr>
                <w:rFonts w:ascii="Arial" w:hAnsi="Arial" w:cs="Arial"/>
                <w:color w:val="000000" w:themeColor="text1"/>
                <w:sz w:val="20"/>
                <w:szCs w:val="20"/>
              </w:rPr>
              <w:t>50mL Centrifuge Tubes</w:t>
            </w:r>
          </w:p>
        </w:tc>
        <w:tc>
          <w:tcPr>
            <w:tcW w:w="3197" w:type="dxa"/>
            <w:shd w:val="clear" w:color="auto" w:fill="auto"/>
          </w:tcPr>
          <w:p w14:paraId="7EED5221" w14:textId="4849A6BD" w:rsidR="00FB79E9" w:rsidRPr="00EC791B" w:rsidRDefault="00EC791B" w:rsidP="00EC791B">
            <w:pPr>
              <w:pStyle w:val="Heading3"/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C79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Genesee Scientific Cat #: 21-108</w:t>
            </w:r>
          </w:p>
        </w:tc>
      </w:tr>
      <w:tr w:rsidR="00FB79E9" w:rsidRPr="00237690" w14:paraId="52E2AB00" w14:textId="77777777" w:rsidTr="002411D6">
        <w:trPr>
          <w:trHeight w:val="412"/>
        </w:trPr>
        <w:tc>
          <w:tcPr>
            <w:tcW w:w="8405" w:type="dxa"/>
            <w:gridSpan w:val="2"/>
            <w:shd w:val="clear" w:color="auto" w:fill="BFBFBF" w:themeFill="background1" w:themeFillShade="BF"/>
          </w:tcPr>
          <w:p w14:paraId="08C0434E" w14:textId="77777777" w:rsidR="00FB79E9" w:rsidRPr="00FB79E9" w:rsidRDefault="00FB79E9" w:rsidP="00FB79E9">
            <w:pPr>
              <w:pStyle w:val="TableParagraph"/>
              <w:spacing w:before="106"/>
              <w:ind w:left="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79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Reagents Included: </w:t>
            </w:r>
          </w:p>
        </w:tc>
      </w:tr>
      <w:tr w:rsidR="00FB79E9" w:rsidRPr="00237690" w14:paraId="5006FFA7" w14:textId="77777777" w:rsidTr="00182DD7">
        <w:trPr>
          <w:trHeight w:val="412"/>
        </w:trPr>
        <w:tc>
          <w:tcPr>
            <w:tcW w:w="5208" w:type="dxa"/>
          </w:tcPr>
          <w:p w14:paraId="5AEB8341" w14:textId="3F891BF8" w:rsidR="00FB79E9" w:rsidRPr="00FB79E9" w:rsidRDefault="00FB79E9" w:rsidP="00FB79E9">
            <w:pPr>
              <w:pStyle w:val="TableParagraph"/>
              <w:spacing w:before="10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79E9">
              <w:rPr>
                <w:rFonts w:ascii="Arial" w:hAnsi="Arial" w:cs="Arial"/>
                <w:color w:val="000000" w:themeColor="text1"/>
                <w:sz w:val="20"/>
                <w:szCs w:val="20"/>
              </w:rPr>
              <w:t>Virongy’s</w:t>
            </w:r>
            <w:proofErr w:type="spellEnd"/>
            <w:r w:rsidRPr="00FB79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Viral Concentration Buffer</w:t>
            </w:r>
          </w:p>
        </w:tc>
        <w:tc>
          <w:tcPr>
            <w:tcW w:w="3197" w:type="dxa"/>
          </w:tcPr>
          <w:p w14:paraId="181746E2" w14:textId="0297C189" w:rsidR="00FB79E9" w:rsidRPr="00FB79E9" w:rsidRDefault="00FB79E9" w:rsidP="00FB79E9">
            <w:pPr>
              <w:pStyle w:val="TableParagraph"/>
              <w:spacing w:before="106"/>
              <w:ind w:left="9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B79E9">
              <w:rPr>
                <w:rFonts w:ascii="Arial" w:hAnsi="Arial" w:cs="Arial"/>
                <w:color w:val="000000" w:themeColor="text1"/>
                <w:sz w:val="20"/>
                <w:szCs w:val="20"/>
              </w:rPr>
              <w:t>Virongy</w:t>
            </w:r>
            <w:proofErr w:type="spellEnd"/>
            <w:r w:rsidRPr="00FB79E9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B79E9">
              <w:rPr>
                <w:rFonts w:ascii="Arial" w:hAnsi="Arial" w:cs="Arial"/>
                <w:color w:val="000000" w:themeColor="text1"/>
                <w:sz w:val="20"/>
                <w:szCs w:val="20"/>
              </w:rPr>
              <w:t>#LSVCKit-01</w:t>
            </w:r>
          </w:p>
        </w:tc>
      </w:tr>
      <w:tr w:rsidR="00FB79E9" w:rsidRPr="00237690" w14:paraId="2B80CC6B" w14:textId="77777777" w:rsidTr="00182DD7">
        <w:trPr>
          <w:trHeight w:val="412"/>
        </w:trPr>
        <w:tc>
          <w:tcPr>
            <w:tcW w:w="5208" w:type="dxa"/>
          </w:tcPr>
          <w:p w14:paraId="5C717D78" w14:textId="3E4CD985" w:rsidR="00FB79E9" w:rsidRPr="00FB79E9" w:rsidRDefault="00FB79E9" w:rsidP="00FB79E9">
            <w:pPr>
              <w:pStyle w:val="TableParagraph"/>
              <w:tabs>
                <w:tab w:val="left" w:pos="818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79E9">
              <w:rPr>
                <w:rFonts w:ascii="Arial" w:hAnsi="Arial" w:cs="Arial"/>
                <w:color w:val="000000" w:themeColor="text1"/>
                <w:sz w:val="20"/>
                <w:szCs w:val="20"/>
              </w:rPr>
              <w:t>Virus Resuspension Buffer</w:t>
            </w:r>
          </w:p>
        </w:tc>
        <w:tc>
          <w:tcPr>
            <w:tcW w:w="3197" w:type="dxa"/>
          </w:tcPr>
          <w:p w14:paraId="08E7464E" w14:textId="415EC7BF" w:rsidR="00FB79E9" w:rsidRPr="00FB79E9" w:rsidRDefault="00FB79E9" w:rsidP="00FB79E9">
            <w:pPr>
              <w:pStyle w:val="TableParagraph"/>
              <w:spacing w:before="106"/>
              <w:ind w:left="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B79E9">
              <w:rPr>
                <w:rFonts w:ascii="Arial" w:hAnsi="Arial" w:cs="Arial"/>
                <w:color w:val="000000" w:themeColor="text1"/>
                <w:sz w:val="20"/>
                <w:szCs w:val="20"/>
              </w:rPr>
              <w:t>Virongy</w:t>
            </w:r>
            <w:proofErr w:type="spellEnd"/>
            <w:r w:rsidRPr="00FB79E9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B79E9">
              <w:rPr>
                <w:rFonts w:ascii="Arial" w:hAnsi="Arial" w:cs="Arial"/>
                <w:color w:val="000000" w:themeColor="text1"/>
                <w:sz w:val="20"/>
                <w:szCs w:val="20"/>
              </w:rPr>
              <w:t>#LSVCKit-01</w:t>
            </w:r>
          </w:p>
        </w:tc>
      </w:tr>
    </w:tbl>
    <w:p w14:paraId="3E8A515A" w14:textId="3D867D09" w:rsidR="00D6465C" w:rsidRDefault="007A351B" w:rsidP="002411D6">
      <w:r>
        <w:t xml:space="preserve"> </w:t>
      </w:r>
    </w:p>
    <w:p w14:paraId="1D0A9175" w14:textId="1FA2A451" w:rsidR="00D6465C" w:rsidRPr="002411D6" w:rsidRDefault="00D6465C" w:rsidP="002411D6">
      <w:pPr>
        <w:pStyle w:val="Heading1"/>
        <w:numPr>
          <w:ilvl w:val="0"/>
          <w:numId w:val="1"/>
        </w:numPr>
        <w:tabs>
          <w:tab w:val="left" w:pos="615"/>
        </w:tabs>
        <w:rPr>
          <w:rFonts w:ascii="Arial" w:hAnsi="Arial" w:cs="Arial"/>
          <w:sz w:val="24"/>
          <w:szCs w:val="24"/>
        </w:rPr>
      </w:pPr>
      <w:r w:rsidRPr="002411D6">
        <w:rPr>
          <w:rFonts w:ascii="Arial" w:hAnsi="Arial" w:cs="Arial"/>
          <w:sz w:val="24"/>
          <w:szCs w:val="24"/>
        </w:rPr>
        <w:t>User</w:t>
      </w:r>
      <w:r w:rsidRPr="002411D6">
        <w:rPr>
          <w:rFonts w:ascii="Arial" w:hAnsi="Arial" w:cs="Arial"/>
          <w:spacing w:val="-1"/>
          <w:sz w:val="24"/>
          <w:szCs w:val="24"/>
        </w:rPr>
        <w:t xml:space="preserve"> </w:t>
      </w:r>
      <w:r w:rsidRPr="002411D6">
        <w:rPr>
          <w:rFonts w:ascii="Arial" w:hAnsi="Arial" w:cs="Arial"/>
          <w:sz w:val="24"/>
          <w:szCs w:val="24"/>
        </w:rPr>
        <w:t>Guide:</w:t>
      </w:r>
    </w:p>
    <w:p w14:paraId="04E11FD4" w14:textId="4B8EC322" w:rsidR="00D6465C" w:rsidRPr="002411D6" w:rsidRDefault="00D6465C" w:rsidP="00D6465C">
      <w:pPr>
        <w:pStyle w:val="Heading1"/>
        <w:tabs>
          <w:tab w:val="left" w:pos="615"/>
        </w:tabs>
        <w:rPr>
          <w:rFonts w:ascii="Arial" w:hAnsi="Arial" w:cs="Arial"/>
          <w:sz w:val="24"/>
          <w:szCs w:val="24"/>
        </w:rPr>
      </w:pPr>
    </w:p>
    <w:p w14:paraId="3EE0D541" w14:textId="70E57837" w:rsidR="00D6465C" w:rsidRPr="002411D6" w:rsidRDefault="00D6465C" w:rsidP="00D6465C">
      <w:pPr>
        <w:pStyle w:val="Heading1"/>
        <w:numPr>
          <w:ilvl w:val="1"/>
          <w:numId w:val="1"/>
        </w:numPr>
        <w:tabs>
          <w:tab w:val="left" w:pos="615"/>
        </w:tabs>
        <w:rPr>
          <w:rFonts w:ascii="Arial" w:hAnsi="Arial" w:cs="Arial"/>
          <w:b w:val="0"/>
          <w:sz w:val="24"/>
          <w:szCs w:val="24"/>
        </w:rPr>
      </w:pPr>
      <w:r w:rsidRPr="002411D6">
        <w:rPr>
          <w:rFonts w:ascii="Arial" w:hAnsi="Arial" w:cs="Arial"/>
          <w:b w:val="0"/>
          <w:sz w:val="24"/>
          <w:szCs w:val="24"/>
        </w:rPr>
        <w:t xml:space="preserve">Harvest the virus or particle containing supernatant on ice and filter through a 0.45µm filter to remove cells and debris </w:t>
      </w:r>
    </w:p>
    <w:p w14:paraId="1A90571C" w14:textId="5A6C4349" w:rsidR="00D6465C" w:rsidRPr="002411D6" w:rsidRDefault="00D6465C" w:rsidP="00D6465C">
      <w:pPr>
        <w:pStyle w:val="Heading1"/>
        <w:numPr>
          <w:ilvl w:val="1"/>
          <w:numId w:val="1"/>
        </w:numPr>
        <w:tabs>
          <w:tab w:val="left" w:pos="615"/>
        </w:tabs>
        <w:rPr>
          <w:rFonts w:ascii="Arial" w:hAnsi="Arial" w:cs="Arial"/>
          <w:b w:val="0"/>
          <w:sz w:val="24"/>
          <w:szCs w:val="24"/>
        </w:rPr>
      </w:pPr>
      <w:r w:rsidRPr="002411D6">
        <w:rPr>
          <w:rFonts w:ascii="Arial" w:hAnsi="Arial" w:cs="Arial"/>
          <w:b w:val="0"/>
          <w:sz w:val="24"/>
          <w:szCs w:val="24"/>
        </w:rPr>
        <w:t>Prepare the</w:t>
      </w:r>
      <w:r w:rsidR="002411D6">
        <w:rPr>
          <w:rFonts w:ascii="Arial" w:hAnsi="Arial" w:cs="Arial"/>
          <w:b w:val="0"/>
          <w:sz w:val="24"/>
          <w:szCs w:val="24"/>
        </w:rPr>
        <w:t xml:space="preserve"> </w:t>
      </w:r>
      <w:r w:rsidRPr="002411D6">
        <w:rPr>
          <w:rFonts w:ascii="Arial" w:hAnsi="Arial" w:cs="Arial"/>
          <w:b w:val="0"/>
          <w:sz w:val="24"/>
          <w:szCs w:val="24"/>
        </w:rPr>
        <w:t xml:space="preserve">centrifuge tube by adding 10 mL of </w:t>
      </w:r>
      <w:proofErr w:type="spellStart"/>
      <w:r w:rsidRPr="002411D6">
        <w:rPr>
          <w:rFonts w:ascii="Arial" w:hAnsi="Arial" w:cs="Arial"/>
          <w:sz w:val="24"/>
          <w:szCs w:val="24"/>
        </w:rPr>
        <w:t>Virongy’s</w:t>
      </w:r>
      <w:proofErr w:type="spellEnd"/>
      <w:r w:rsidRPr="002411D6">
        <w:rPr>
          <w:rFonts w:ascii="Arial" w:hAnsi="Arial" w:cs="Arial"/>
          <w:sz w:val="24"/>
          <w:szCs w:val="24"/>
        </w:rPr>
        <w:t xml:space="preserve"> Viral Concentration Buffer </w:t>
      </w:r>
      <w:r w:rsidRPr="002411D6">
        <w:rPr>
          <w:rFonts w:ascii="Arial" w:hAnsi="Arial" w:cs="Arial"/>
          <w:b w:val="0"/>
          <w:sz w:val="24"/>
          <w:szCs w:val="24"/>
        </w:rPr>
        <w:t xml:space="preserve">to the bottom of a 50 mL </w:t>
      </w:r>
      <w:r w:rsidR="002411D6">
        <w:rPr>
          <w:rFonts w:ascii="Arial" w:hAnsi="Arial" w:cs="Arial"/>
          <w:b w:val="0"/>
          <w:sz w:val="24"/>
          <w:szCs w:val="24"/>
        </w:rPr>
        <w:t xml:space="preserve">conical </w:t>
      </w:r>
      <w:r w:rsidRPr="002411D6">
        <w:rPr>
          <w:rFonts w:ascii="Arial" w:hAnsi="Arial" w:cs="Arial"/>
          <w:b w:val="0"/>
          <w:sz w:val="24"/>
          <w:szCs w:val="24"/>
        </w:rPr>
        <w:t xml:space="preserve">centrifuge tube </w:t>
      </w:r>
    </w:p>
    <w:p w14:paraId="07AAEA16" w14:textId="1297950C" w:rsidR="00D6465C" w:rsidRPr="002411D6" w:rsidRDefault="00D6465C" w:rsidP="00D6465C">
      <w:pPr>
        <w:pStyle w:val="Heading1"/>
        <w:numPr>
          <w:ilvl w:val="1"/>
          <w:numId w:val="1"/>
        </w:numPr>
        <w:tabs>
          <w:tab w:val="left" w:pos="615"/>
        </w:tabs>
        <w:rPr>
          <w:rFonts w:ascii="Arial" w:hAnsi="Arial" w:cs="Arial"/>
          <w:b w:val="0"/>
          <w:sz w:val="24"/>
          <w:szCs w:val="24"/>
        </w:rPr>
      </w:pPr>
      <w:r w:rsidRPr="002411D6">
        <w:rPr>
          <w:rFonts w:ascii="Arial" w:hAnsi="Arial" w:cs="Arial"/>
          <w:b w:val="0"/>
          <w:sz w:val="24"/>
          <w:szCs w:val="24"/>
        </w:rPr>
        <w:t>Carefully to the side of the tube</w:t>
      </w:r>
      <w:r w:rsidR="002411D6">
        <w:rPr>
          <w:rFonts w:ascii="Arial" w:hAnsi="Arial" w:cs="Arial"/>
          <w:b w:val="0"/>
          <w:sz w:val="24"/>
          <w:szCs w:val="24"/>
        </w:rPr>
        <w:t>,</w:t>
      </w:r>
      <w:r w:rsidRPr="002411D6">
        <w:rPr>
          <w:rFonts w:ascii="Arial" w:hAnsi="Arial" w:cs="Arial"/>
          <w:b w:val="0"/>
          <w:sz w:val="24"/>
          <w:szCs w:val="24"/>
        </w:rPr>
        <w:t xml:space="preserve"> slowly add 10-40mL of the virus/particle containing supernatant so the two solutions form two distinct layers. Avoid moving or shaking the tubes to keep the layers separated</w:t>
      </w:r>
    </w:p>
    <w:p w14:paraId="34F4A8E7" w14:textId="50FD3DA4" w:rsidR="00D6465C" w:rsidRPr="002411D6" w:rsidRDefault="00D6465C" w:rsidP="00D6465C">
      <w:pPr>
        <w:pStyle w:val="Heading1"/>
        <w:tabs>
          <w:tab w:val="left" w:pos="615"/>
        </w:tabs>
        <w:jc w:val="center"/>
        <w:rPr>
          <w:rFonts w:ascii="Arial" w:hAnsi="Arial" w:cs="Arial"/>
          <w:b w:val="0"/>
          <w:sz w:val="24"/>
          <w:szCs w:val="24"/>
        </w:rPr>
      </w:pPr>
      <w:r w:rsidRPr="002411D6">
        <w:rPr>
          <w:rFonts w:ascii="Arial" w:hAnsi="Arial" w:cs="Arial"/>
          <w:b w:val="0"/>
          <w:noProof/>
        </w:rPr>
        <w:drawing>
          <wp:inline distT="0" distB="0" distL="0" distR="0" wp14:anchorId="2173BC15" wp14:editId="7B730838">
            <wp:extent cx="3712028" cy="18200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913" cy="183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17464" w14:textId="77777777" w:rsidR="00D6465C" w:rsidRPr="002411D6" w:rsidRDefault="00D6465C" w:rsidP="00D6465C">
      <w:pPr>
        <w:pStyle w:val="Heading1"/>
        <w:tabs>
          <w:tab w:val="left" w:pos="615"/>
        </w:tabs>
        <w:ind w:left="0"/>
        <w:rPr>
          <w:rFonts w:ascii="Arial" w:hAnsi="Arial" w:cs="Arial"/>
          <w:b w:val="0"/>
          <w:sz w:val="24"/>
          <w:szCs w:val="24"/>
        </w:rPr>
      </w:pPr>
    </w:p>
    <w:p w14:paraId="5BC94E09" w14:textId="4BD3B5D5" w:rsidR="00D6465C" w:rsidRPr="002411D6" w:rsidRDefault="00D6465C" w:rsidP="00D6465C">
      <w:pPr>
        <w:pStyle w:val="Heading1"/>
        <w:numPr>
          <w:ilvl w:val="1"/>
          <w:numId w:val="1"/>
        </w:numPr>
        <w:tabs>
          <w:tab w:val="left" w:pos="615"/>
        </w:tabs>
        <w:rPr>
          <w:rFonts w:ascii="Arial" w:hAnsi="Arial" w:cs="Arial"/>
          <w:b w:val="0"/>
          <w:sz w:val="24"/>
          <w:szCs w:val="24"/>
        </w:rPr>
      </w:pPr>
      <w:r w:rsidRPr="002411D6">
        <w:rPr>
          <w:rFonts w:ascii="Arial" w:hAnsi="Arial" w:cs="Arial"/>
          <w:b w:val="0"/>
          <w:sz w:val="24"/>
          <w:szCs w:val="24"/>
        </w:rPr>
        <w:t>Carefully transfer the tube to a pre-cooled centrifuge at 4</w:t>
      </w:r>
      <w:r w:rsidRPr="002411D6">
        <w:rPr>
          <w:rFonts w:ascii="Arial" w:hAnsi="Arial" w:cs="Arial"/>
          <w:b w:val="0"/>
          <w:sz w:val="24"/>
          <w:szCs w:val="24"/>
        </w:rPr>
        <w:sym w:font="Symbol" w:char="F0B0"/>
      </w:r>
      <w:r w:rsidRPr="002411D6">
        <w:rPr>
          <w:rFonts w:ascii="Arial" w:hAnsi="Arial" w:cs="Arial"/>
          <w:b w:val="0"/>
          <w:sz w:val="24"/>
          <w:szCs w:val="24"/>
        </w:rPr>
        <w:t xml:space="preserve">C and spin the virus and viral concentration buffer solutions at 10,000xg for 4 hours. </w:t>
      </w:r>
    </w:p>
    <w:p w14:paraId="13F384DF" w14:textId="3B5D146B" w:rsidR="00840E61" w:rsidRPr="002411D6" w:rsidRDefault="00840E61" w:rsidP="00D6465C">
      <w:pPr>
        <w:pStyle w:val="Heading1"/>
        <w:numPr>
          <w:ilvl w:val="1"/>
          <w:numId w:val="1"/>
        </w:numPr>
        <w:tabs>
          <w:tab w:val="left" w:pos="615"/>
        </w:tabs>
        <w:rPr>
          <w:rFonts w:ascii="Arial" w:hAnsi="Arial" w:cs="Arial"/>
          <w:b w:val="0"/>
          <w:sz w:val="24"/>
          <w:szCs w:val="24"/>
        </w:rPr>
      </w:pPr>
      <w:r w:rsidRPr="002411D6">
        <w:rPr>
          <w:rFonts w:ascii="Arial" w:hAnsi="Arial" w:cs="Arial"/>
          <w:b w:val="0"/>
          <w:sz w:val="24"/>
          <w:szCs w:val="24"/>
        </w:rPr>
        <w:t xml:space="preserve">After the spin carefully decant the supernatant and blot the tube dry. </w:t>
      </w:r>
    </w:p>
    <w:p w14:paraId="7BF40E4C" w14:textId="31B582BB" w:rsidR="00D6465C" w:rsidRPr="00EC791B" w:rsidRDefault="00840E61" w:rsidP="00EC791B">
      <w:pPr>
        <w:pStyle w:val="Heading1"/>
        <w:numPr>
          <w:ilvl w:val="1"/>
          <w:numId w:val="1"/>
        </w:numPr>
        <w:tabs>
          <w:tab w:val="left" w:pos="615"/>
        </w:tabs>
        <w:rPr>
          <w:rFonts w:ascii="Arial" w:hAnsi="Arial" w:cs="Arial"/>
          <w:b w:val="0"/>
          <w:sz w:val="24"/>
          <w:szCs w:val="24"/>
        </w:rPr>
      </w:pPr>
      <w:r w:rsidRPr="002411D6">
        <w:rPr>
          <w:rFonts w:ascii="Arial" w:hAnsi="Arial" w:cs="Arial"/>
          <w:b w:val="0"/>
          <w:sz w:val="24"/>
          <w:szCs w:val="24"/>
        </w:rPr>
        <w:t xml:space="preserve">Resuspend the viral pellet in the desired </w:t>
      </w:r>
      <w:r w:rsidR="00EC791B">
        <w:rPr>
          <w:rFonts w:ascii="Arial" w:hAnsi="Arial" w:cs="Arial"/>
          <w:b w:val="0"/>
          <w:sz w:val="24"/>
          <w:szCs w:val="24"/>
        </w:rPr>
        <w:t xml:space="preserve">volume of </w:t>
      </w:r>
      <w:r w:rsidRPr="002411D6">
        <w:rPr>
          <w:rFonts w:ascii="Arial" w:hAnsi="Arial" w:cs="Arial"/>
          <w:sz w:val="24"/>
          <w:szCs w:val="24"/>
        </w:rPr>
        <w:t>Virus Resuspension Buffer</w:t>
      </w:r>
      <w:r w:rsidRPr="002411D6">
        <w:rPr>
          <w:rFonts w:ascii="Arial" w:hAnsi="Arial" w:cs="Arial"/>
          <w:b w:val="0"/>
          <w:sz w:val="24"/>
          <w:szCs w:val="24"/>
        </w:rPr>
        <w:t xml:space="preserve"> (Typically: 100-500µL)</w:t>
      </w:r>
      <w:r w:rsidR="00EC791B">
        <w:rPr>
          <w:rFonts w:ascii="Arial" w:hAnsi="Arial" w:cs="Arial"/>
          <w:b w:val="0"/>
          <w:sz w:val="24"/>
          <w:szCs w:val="24"/>
        </w:rPr>
        <w:t>.</w:t>
      </w:r>
      <w:r w:rsidRPr="002411D6">
        <w:rPr>
          <w:rFonts w:ascii="Arial" w:hAnsi="Arial" w:cs="Arial"/>
          <w:b w:val="0"/>
          <w:sz w:val="24"/>
          <w:szCs w:val="24"/>
        </w:rPr>
        <w:t xml:space="preserve"> </w:t>
      </w:r>
      <w:r w:rsidRPr="00EC791B">
        <w:rPr>
          <w:rFonts w:ascii="Arial" w:hAnsi="Arial" w:cs="Arial"/>
          <w:b w:val="0"/>
          <w:sz w:val="24"/>
          <w:szCs w:val="24"/>
        </w:rPr>
        <w:t>Recommended</w:t>
      </w:r>
      <w:r w:rsidRPr="00EC791B">
        <w:rPr>
          <w:rFonts w:ascii="Arial" w:hAnsi="Arial" w:cs="Arial"/>
          <w:sz w:val="24"/>
          <w:szCs w:val="24"/>
        </w:rPr>
        <w:t xml:space="preserve">: </w:t>
      </w:r>
      <w:r w:rsidRPr="00EC791B">
        <w:rPr>
          <w:rFonts w:ascii="Arial" w:hAnsi="Arial" w:cs="Arial"/>
          <w:b w:val="0"/>
          <w:sz w:val="24"/>
          <w:szCs w:val="24"/>
        </w:rPr>
        <w:t xml:space="preserve"> Allow the virus to recover at 4</w:t>
      </w:r>
      <w:r w:rsidRPr="002411D6">
        <w:rPr>
          <w:rFonts w:ascii="Arial" w:hAnsi="Arial" w:cs="Arial"/>
          <w:b w:val="0"/>
          <w:sz w:val="24"/>
          <w:szCs w:val="24"/>
        </w:rPr>
        <w:sym w:font="Symbol" w:char="F0B0"/>
      </w:r>
      <w:r w:rsidRPr="00EC791B">
        <w:rPr>
          <w:rFonts w:ascii="Arial" w:hAnsi="Arial" w:cs="Arial"/>
          <w:b w:val="0"/>
          <w:sz w:val="24"/>
          <w:szCs w:val="24"/>
        </w:rPr>
        <w:t>C overnight before aliquoting and storing</w:t>
      </w:r>
    </w:p>
    <w:sectPr w:rsidR="00D6465C" w:rsidRPr="00EC791B" w:rsidSect="007B7C0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75EBF" w14:textId="77777777" w:rsidR="006A5953" w:rsidRDefault="006A5953" w:rsidP="002411D6">
      <w:r>
        <w:separator/>
      </w:r>
    </w:p>
  </w:endnote>
  <w:endnote w:type="continuationSeparator" w:id="0">
    <w:p w14:paraId="73E31E41" w14:textId="77777777" w:rsidR="006A5953" w:rsidRDefault="006A5953" w:rsidP="0024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3215E" w14:textId="6D6ABCF9" w:rsidR="00FB79E9" w:rsidRPr="007A1642" w:rsidRDefault="00FB79E9" w:rsidP="00FB79E9">
    <w:pPr>
      <w:spacing w:before="120"/>
      <w:ind w:right="360"/>
      <w:jc w:val="center"/>
      <w:rPr>
        <w:rFonts w:ascii="Calibri" w:eastAsia="Calibri" w:hAnsi="Calibri" w:cs="Calibri"/>
        <w:bCs/>
        <w:color w:val="7F7F7F" w:themeColor="text1" w:themeTint="80"/>
        <w:sz w:val="16"/>
        <w:szCs w:val="16"/>
      </w:rPr>
    </w:pPr>
    <w:r>
      <w:rPr>
        <w:rFonts w:ascii="Calibri" w:eastAsia="Calibri" w:hAnsi="Calibri" w:cs="Calibri"/>
        <w:bCs/>
        <w:color w:val="7F7F7F" w:themeColor="text1" w:themeTint="80"/>
        <w:sz w:val="16"/>
        <w:szCs w:val="16"/>
      </w:rPr>
      <w:t xml:space="preserve">Version LSVCKit-01 – Copyright 0822 - </w:t>
    </w:r>
    <w:proofErr w:type="spellStart"/>
    <w:r w:rsidRPr="007A1642">
      <w:rPr>
        <w:rFonts w:ascii="Calibri" w:eastAsia="Calibri" w:hAnsi="Calibri" w:cs="Calibri"/>
        <w:bCs/>
        <w:color w:val="7F7F7F" w:themeColor="text1" w:themeTint="80"/>
        <w:sz w:val="16"/>
        <w:szCs w:val="16"/>
      </w:rPr>
      <w:t>Virongy</w:t>
    </w:r>
    <w:proofErr w:type="spellEnd"/>
    <w:r w:rsidRPr="007A1642">
      <w:rPr>
        <w:rFonts w:ascii="Calibri" w:eastAsia="Calibri" w:hAnsi="Calibri" w:cs="Calibri"/>
        <w:bCs/>
        <w:color w:val="7F7F7F" w:themeColor="text1" w:themeTint="80"/>
        <w:sz w:val="16"/>
        <w:szCs w:val="16"/>
      </w:rPr>
      <w:t xml:space="preserve"> Biosciences Inc. 11225 </w:t>
    </w:r>
    <w:proofErr w:type="spellStart"/>
    <w:r w:rsidRPr="007A1642">
      <w:rPr>
        <w:rFonts w:ascii="Calibri" w:eastAsia="Calibri" w:hAnsi="Calibri" w:cs="Calibri"/>
        <w:bCs/>
        <w:color w:val="7F7F7F" w:themeColor="text1" w:themeTint="80"/>
        <w:sz w:val="16"/>
        <w:szCs w:val="16"/>
      </w:rPr>
      <w:t>Assett</w:t>
    </w:r>
    <w:proofErr w:type="spellEnd"/>
    <w:r w:rsidRPr="007A1642">
      <w:rPr>
        <w:rFonts w:ascii="Calibri" w:eastAsia="Calibri" w:hAnsi="Calibri" w:cs="Calibri"/>
        <w:bCs/>
        <w:color w:val="7F7F7F" w:themeColor="text1" w:themeTint="80"/>
        <w:sz w:val="16"/>
        <w:szCs w:val="16"/>
      </w:rPr>
      <w:t xml:space="preserve"> Loop, Suite 111, Manassas, VA 20109, U.S.A.</w:t>
    </w:r>
  </w:p>
  <w:p w14:paraId="57E62E15" w14:textId="2F53F3A4" w:rsidR="002411D6" w:rsidRPr="00FB79E9" w:rsidRDefault="00FB79E9" w:rsidP="00FB79E9">
    <w:pPr>
      <w:ind w:right="86"/>
      <w:jc w:val="center"/>
      <w:rPr>
        <w:rFonts w:ascii="Calibri" w:eastAsia="Calibri" w:hAnsi="Calibri" w:cs="Calibri"/>
        <w:bCs/>
        <w:color w:val="7F7F7F" w:themeColor="text1" w:themeTint="80"/>
        <w:sz w:val="16"/>
        <w:szCs w:val="16"/>
      </w:rPr>
    </w:pPr>
    <w:r w:rsidRPr="007A1642">
      <w:rPr>
        <w:rFonts w:ascii="Calibri" w:eastAsia="Calibri" w:hAnsi="Calibri" w:cs="Calibri"/>
        <w:bCs/>
        <w:color w:val="7F7F7F" w:themeColor="text1" w:themeTint="80"/>
        <w:sz w:val="16"/>
        <w:szCs w:val="16"/>
      </w:rPr>
      <w:t xml:space="preserve">Email: </w:t>
    </w:r>
    <w:hyperlink r:id="rId1" w:history="1">
      <w:r w:rsidRPr="007A1642">
        <w:rPr>
          <w:rStyle w:val="Hyperlink"/>
          <w:rFonts w:ascii="Calibri" w:eastAsia="Calibri" w:hAnsi="Calibri" w:cs="Calibri"/>
          <w:bCs/>
          <w:color w:val="7F7F7F" w:themeColor="text1" w:themeTint="80"/>
          <w:sz w:val="16"/>
          <w:szCs w:val="16"/>
        </w:rPr>
        <w:t>Info@virongy.com</w:t>
      </w:r>
    </w:hyperlink>
    <w:r w:rsidRPr="00FB79E9">
      <w:rPr>
        <w:rStyle w:val="Hyperlink"/>
        <w:rFonts w:ascii="Calibri" w:eastAsia="Calibri" w:hAnsi="Calibri" w:cs="Calibri"/>
        <w:bCs/>
        <w:color w:val="7F7F7F" w:themeColor="text1" w:themeTint="80"/>
        <w:sz w:val="16"/>
        <w:szCs w:val="16"/>
        <w:u w:val="none"/>
      </w:rPr>
      <w:tab/>
    </w:r>
    <w:r w:rsidRPr="007A1642">
      <w:rPr>
        <w:rStyle w:val="Hyperlink"/>
        <w:rFonts w:ascii="Calibri" w:eastAsia="Calibri" w:hAnsi="Calibri" w:cs="Calibri"/>
        <w:bCs/>
        <w:color w:val="7F7F7F" w:themeColor="text1" w:themeTint="80"/>
        <w:sz w:val="16"/>
        <w:szCs w:val="16"/>
      </w:rPr>
      <w:t>Tel: (703) 257 5500</w:t>
    </w:r>
    <w:r w:rsidRPr="00FB79E9">
      <w:rPr>
        <w:rStyle w:val="Hyperlink"/>
        <w:rFonts w:ascii="Calibri" w:eastAsia="Calibri" w:hAnsi="Calibri" w:cs="Calibri"/>
        <w:bCs/>
        <w:color w:val="7F7F7F" w:themeColor="text1" w:themeTint="80"/>
        <w:sz w:val="16"/>
        <w:szCs w:val="16"/>
        <w:u w:val="none"/>
      </w:rPr>
      <w:tab/>
    </w:r>
    <w:r w:rsidRPr="00FB79E9">
      <w:rPr>
        <w:rStyle w:val="Hyperlink"/>
        <w:rFonts w:ascii="Calibri" w:eastAsia="Calibri" w:hAnsi="Calibri" w:cs="Calibri"/>
        <w:bCs/>
        <w:color w:val="7F7F7F" w:themeColor="text1" w:themeTint="80"/>
        <w:sz w:val="16"/>
        <w:szCs w:val="16"/>
        <w:u w:val="none"/>
      </w:rPr>
      <w:tab/>
    </w:r>
    <w:r>
      <w:rPr>
        <w:rStyle w:val="Hyperlink"/>
        <w:rFonts w:ascii="Calibri" w:eastAsia="Calibri" w:hAnsi="Calibri" w:cs="Calibri"/>
        <w:bCs/>
        <w:color w:val="7F7F7F" w:themeColor="text1" w:themeTint="80"/>
        <w:sz w:val="16"/>
        <w:szCs w:val="16"/>
      </w:rPr>
      <w:t>Web: www.Viorngy.com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1FA92" w14:textId="77777777" w:rsidR="006A5953" w:rsidRDefault="006A5953" w:rsidP="002411D6">
      <w:r>
        <w:separator/>
      </w:r>
    </w:p>
  </w:footnote>
  <w:footnote w:type="continuationSeparator" w:id="0">
    <w:p w14:paraId="78A71049" w14:textId="77777777" w:rsidR="006A5953" w:rsidRDefault="006A5953" w:rsidP="00241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3ECB0" w14:textId="0D7C7FCC" w:rsidR="00FB79E9" w:rsidRPr="005B51C4" w:rsidRDefault="00FB79E9" w:rsidP="00FB79E9">
    <w:pPr>
      <w:jc w:val="center"/>
      <w:rPr>
        <w:rFonts w:ascii="Arial" w:hAnsi="Arial" w:cs="Arial"/>
        <w:b/>
        <w:sz w:val="28"/>
        <w:szCs w:val="28"/>
      </w:rPr>
    </w:pPr>
    <w:r w:rsidRPr="00BC719B">
      <w:rPr>
        <w:rFonts w:ascii="Calibri Light" w:hAnsi="Calibri Light"/>
        <w:b/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6F5600C5" wp14:editId="6693ACDB">
          <wp:simplePos x="0" y="0"/>
          <wp:positionH relativeFrom="column">
            <wp:posOffset>76200</wp:posOffset>
          </wp:positionH>
          <wp:positionV relativeFrom="paragraph">
            <wp:posOffset>-196215</wp:posOffset>
          </wp:positionV>
          <wp:extent cx="860425" cy="566420"/>
          <wp:effectExtent l="0" t="0" r="3175" b="5080"/>
          <wp:wrapNone/>
          <wp:docPr id="2" name="Picture 2" descr="Description: Macintosh HD:Users:yuntaowu:Desktop:Wu Bussines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acintosh HD:Users:yuntaowu:Desktop:Wu Bussines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1C4">
      <w:rPr>
        <w:rFonts w:ascii="Arial" w:hAnsi="Arial" w:cs="Arial"/>
        <w:b/>
        <w:sz w:val="28"/>
        <w:szCs w:val="28"/>
      </w:rPr>
      <w:t>Low-Speed Viral Concentration Kit Protocol</w:t>
    </w:r>
  </w:p>
  <w:p w14:paraId="0D169CE5" w14:textId="534E0147" w:rsidR="00FB79E9" w:rsidRDefault="00FB79E9">
    <w:pPr>
      <w:pStyle w:val="Header"/>
    </w:pPr>
  </w:p>
  <w:p w14:paraId="0D202283" w14:textId="1F0DFB3E" w:rsidR="002411D6" w:rsidRDefault="00241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F1A47"/>
    <w:multiLevelType w:val="hybridMultilevel"/>
    <w:tmpl w:val="9104DD12"/>
    <w:lvl w:ilvl="0" w:tplc="5D40CD90">
      <w:start w:val="1"/>
      <w:numFmt w:val="decimal"/>
      <w:lvlText w:val="(%1)"/>
      <w:lvlJc w:val="left"/>
      <w:pPr>
        <w:ind w:left="9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" w15:restartNumberingAfterBreak="0">
    <w:nsid w:val="750344AD"/>
    <w:multiLevelType w:val="hybridMultilevel"/>
    <w:tmpl w:val="305C9EEE"/>
    <w:lvl w:ilvl="0" w:tplc="693CBB02">
      <w:start w:val="1"/>
      <w:numFmt w:val="upperRoman"/>
      <w:lvlText w:val="%1."/>
      <w:lvlJc w:val="left"/>
      <w:pPr>
        <w:ind w:left="620" w:hanging="196"/>
        <w:jc w:val="left"/>
      </w:pPr>
      <w:rPr>
        <w:rFonts w:hint="default"/>
        <w:b/>
        <w:w w:val="100"/>
      </w:rPr>
    </w:lvl>
    <w:lvl w:ilvl="1" w:tplc="55309DA2">
      <w:start w:val="1"/>
      <w:numFmt w:val="decimal"/>
      <w:lvlText w:val="%2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D1D1D"/>
        <w:w w:val="100"/>
        <w:sz w:val="22"/>
        <w:szCs w:val="22"/>
      </w:rPr>
    </w:lvl>
    <w:lvl w:ilvl="2" w:tplc="D3D0944E">
      <w:numFmt w:val="bullet"/>
      <w:lvlText w:val="•"/>
      <w:lvlJc w:val="left"/>
      <w:pPr>
        <w:ind w:left="2115" w:hanging="360"/>
      </w:pPr>
      <w:rPr>
        <w:rFonts w:hint="default"/>
      </w:rPr>
    </w:lvl>
    <w:lvl w:ilvl="3" w:tplc="1042F434"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0D909FD6">
      <w:numFmt w:val="bullet"/>
      <w:lvlText w:val="•"/>
      <w:lvlJc w:val="left"/>
      <w:pPr>
        <w:ind w:left="4386" w:hanging="360"/>
      </w:pPr>
      <w:rPr>
        <w:rFonts w:hint="default"/>
      </w:rPr>
    </w:lvl>
    <w:lvl w:ilvl="5" w:tplc="6332F478">
      <w:numFmt w:val="bullet"/>
      <w:lvlText w:val="•"/>
      <w:lvlJc w:val="left"/>
      <w:pPr>
        <w:ind w:left="5522" w:hanging="360"/>
      </w:pPr>
      <w:rPr>
        <w:rFonts w:hint="default"/>
      </w:rPr>
    </w:lvl>
    <w:lvl w:ilvl="6" w:tplc="608C6A30">
      <w:numFmt w:val="bullet"/>
      <w:lvlText w:val="•"/>
      <w:lvlJc w:val="left"/>
      <w:pPr>
        <w:ind w:left="6657" w:hanging="360"/>
      </w:pPr>
      <w:rPr>
        <w:rFonts w:hint="default"/>
      </w:rPr>
    </w:lvl>
    <w:lvl w:ilvl="7" w:tplc="52527CC4">
      <w:numFmt w:val="bullet"/>
      <w:lvlText w:val="•"/>
      <w:lvlJc w:val="left"/>
      <w:pPr>
        <w:ind w:left="7793" w:hanging="360"/>
      </w:pPr>
      <w:rPr>
        <w:rFonts w:hint="default"/>
      </w:rPr>
    </w:lvl>
    <w:lvl w:ilvl="8" w:tplc="F1669C58">
      <w:numFmt w:val="bullet"/>
      <w:lvlText w:val="•"/>
      <w:lvlJc w:val="left"/>
      <w:pPr>
        <w:ind w:left="8928" w:hanging="360"/>
      </w:pPr>
      <w:rPr>
        <w:rFonts w:hint="default"/>
      </w:rPr>
    </w:lvl>
  </w:abstractNum>
  <w:abstractNum w:abstractNumId="2" w15:restartNumberingAfterBreak="0">
    <w:nsid w:val="78D553B7"/>
    <w:multiLevelType w:val="hybridMultilevel"/>
    <w:tmpl w:val="985A1906"/>
    <w:lvl w:ilvl="0" w:tplc="5736427E">
      <w:start w:val="1"/>
      <w:numFmt w:val="decimal"/>
      <w:lvlText w:val="%1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690696D4">
      <w:numFmt w:val="bullet"/>
      <w:lvlText w:val="•"/>
      <w:lvlJc w:val="left"/>
      <w:pPr>
        <w:ind w:left="1315" w:hanging="360"/>
      </w:pPr>
      <w:rPr>
        <w:rFonts w:hint="default"/>
      </w:rPr>
    </w:lvl>
    <w:lvl w:ilvl="2" w:tplc="D5FCCDB8"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8486A2E6">
      <w:numFmt w:val="bullet"/>
      <w:lvlText w:val="•"/>
      <w:lvlJc w:val="left"/>
      <w:pPr>
        <w:ind w:left="2306" w:hanging="360"/>
      </w:pPr>
      <w:rPr>
        <w:rFonts w:hint="default"/>
      </w:rPr>
    </w:lvl>
    <w:lvl w:ilvl="4" w:tplc="CEE25DB2">
      <w:numFmt w:val="bullet"/>
      <w:lvlText w:val="•"/>
      <w:lvlJc w:val="left"/>
      <w:pPr>
        <w:ind w:left="2802" w:hanging="360"/>
      </w:pPr>
      <w:rPr>
        <w:rFonts w:hint="default"/>
      </w:rPr>
    </w:lvl>
    <w:lvl w:ilvl="5" w:tplc="14847B06">
      <w:numFmt w:val="bullet"/>
      <w:lvlText w:val="•"/>
      <w:lvlJc w:val="left"/>
      <w:pPr>
        <w:ind w:left="3297" w:hanging="360"/>
      </w:pPr>
      <w:rPr>
        <w:rFonts w:hint="default"/>
      </w:rPr>
    </w:lvl>
    <w:lvl w:ilvl="6" w:tplc="26469368">
      <w:numFmt w:val="bullet"/>
      <w:lvlText w:val="•"/>
      <w:lvlJc w:val="left"/>
      <w:pPr>
        <w:ind w:left="3793" w:hanging="360"/>
      </w:pPr>
      <w:rPr>
        <w:rFonts w:hint="default"/>
      </w:rPr>
    </w:lvl>
    <w:lvl w:ilvl="7" w:tplc="961880E4">
      <w:numFmt w:val="bullet"/>
      <w:lvlText w:val="•"/>
      <w:lvlJc w:val="left"/>
      <w:pPr>
        <w:ind w:left="4288" w:hanging="360"/>
      </w:pPr>
      <w:rPr>
        <w:rFonts w:hint="default"/>
      </w:rPr>
    </w:lvl>
    <w:lvl w:ilvl="8" w:tplc="095C49DC">
      <w:numFmt w:val="bullet"/>
      <w:lvlText w:val="•"/>
      <w:lvlJc w:val="left"/>
      <w:pPr>
        <w:ind w:left="478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1B"/>
    <w:rsid w:val="000349B8"/>
    <w:rsid w:val="00054CDF"/>
    <w:rsid w:val="00116F0F"/>
    <w:rsid w:val="00121AE1"/>
    <w:rsid w:val="00182DD7"/>
    <w:rsid w:val="00183DD1"/>
    <w:rsid w:val="00200B7C"/>
    <w:rsid w:val="002411D6"/>
    <w:rsid w:val="00271265"/>
    <w:rsid w:val="002B5109"/>
    <w:rsid w:val="002C09A7"/>
    <w:rsid w:val="003F0EDF"/>
    <w:rsid w:val="00430BF1"/>
    <w:rsid w:val="00495D53"/>
    <w:rsid w:val="004D0DDC"/>
    <w:rsid w:val="005000BC"/>
    <w:rsid w:val="00531BF0"/>
    <w:rsid w:val="00536EE4"/>
    <w:rsid w:val="005741CE"/>
    <w:rsid w:val="00582436"/>
    <w:rsid w:val="005B4C01"/>
    <w:rsid w:val="005B51C4"/>
    <w:rsid w:val="00602B7A"/>
    <w:rsid w:val="006606C6"/>
    <w:rsid w:val="00662A5E"/>
    <w:rsid w:val="006A5953"/>
    <w:rsid w:val="0077157B"/>
    <w:rsid w:val="007A351B"/>
    <w:rsid w:val="007B7C07"/>
    <w:rsid w:val="007E1363"/>
    <w:rsid w:val="00840E61"/>
    <w:rsid w:val="00861490"/>
    <w:rsid w:val="008A6D89"/>
    <w:rsid w:val="008A7FD5"/>
    <w:rsid w:val="008E5560"/>
    <w:rsid w:val="008E6383"/>
    <w:rsid w:val="009636D0"/>
    <w:rsid w:val="009E0D2D"/>
    <w:rsid w:val="009E55F5"/>
    <w:rsid w:val="00A16F86"/>
    <w:rsid w:val="00AF3282"/>
    <w:rsid w:val="00B11711"/>
    <w:rsid w:val="00B45C18"/>
    <w:rsid w:val="00B63ADC"/>
    <w:rsid w:val="00C74FAF"/>
    <w:rsid w:val="00D04610"/>
    <w:rsid w:val="00D26125"/>
    <w:rsid w:val="00D36452"/>
    <w:rsid w:val="00D6465C"/>
    <w:rsid w:val="00DC67CA"/>
    <w:rsid w:val="00E4332C"/>
    <w:rsid w:val="00E66E8E"/>
    <w:rsid w:val="00E87200"/>
    <w:rsid w:val="00EC791B"/>
    <w:rsid w:val="00F47ECF"/>
    <w:rsid w:val="00F62E96"/>
    <w:rsid w:val="00FB79E9"/>
    <w:rsid w:val="00FC66BB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CF31A"/>
  <w15:chartTrackingRefBased/>
  <w15:docId w15:val="{6459C571-1FC5-6D44-A02A-72B89317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6465C"/>
    <w:pPr>
      <w:widowControl w:val="0"/>
      <w:autoSpaceDE w:val="0"/>
      <w:autoSpaceDN w:val="0"/>
      <w:ind w:left="479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79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B51C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B51C4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5B51C4"/>
    <w:pPr>
      <w:widowControl w:val="0"/>
      <w:autoSpaceDE w:val="0"/>
      <w:autoSpaceDN w:val="0"/>
      <w:ind w:left="979" w:hanging="36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D6465C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840E6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1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1D6"/>
  </w:style>
  <w:style w:type="paragraph" w:styleId="Footer">
    <w:name w:val="footer"/>
    <w:basedOn w:val="Normal"/>
    <w:link w:val="FooterChar"/>
    <w:uiPriority w:val="99"/>
    <w:unhideWhenUsed/>
    <w:rsid w:val="00241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1D6"/>
  </w:style>
  <w:style w:type="character" w:styleId="Hyperlink">
    <w:name w:val="Hyperlink"/>
    <w:basedOn w:val="DefaultParagraphFont"/>
    <w:uiPriority w:val="99"/>
    <w:unhideWhenUsed/>
    <w:rsid w:val="00FB79E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C791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irong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Hetrick</dc:creator>
  <cp:keywords/>
  <dc:description/>
  <cp:lastModifiedBy>Brian Hetrick</cp:lastModifiedBy>
  <cp:revision>5</cp:revision>
  <dcterms:created xsi:type="dcterms:W3CDTF">2022-08-16T17:48:00Z</dcterms:created>
  <dcterms:modified xsi:type="dcterms:W3CDTF">2022-08-16T19:45:00Z</dcterms:modified>
</cp:coreProperties>
</file>